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7"/>
        <w:gridCol w:w="7025"/>
      </w:tblGrid>
      <w:tr w:rsidR="00707FA1" w:rsidTr="009D0B8F">
        <w:tc>
          <w:tcPr>
            <w:tcW w:w="2051" w:type="dxa"/>
            <w:vAlign w:val="center"/>
          </w:tcPr>
          <w:p w:rsidR="00707FA1" w:rsidRDefault="00707FA1" w:rsidP="009D0B8F">
            <w:r>
              <w:rPr>
                <w:noProof/>
              </w:rPr>
              <w:drawing>
                <wp:inline distT="0" distB="0" distL="0" distR="0" wp14:anchorId="3644AF55" wp14:editId="04072706">
                  <wp:extent cx="1039368" cy="762000"/>
                  <wp:effectExtent l="19050" t="0" r="8382" b="0"/>
                  <wp:docPr id="4" name="Image 3" descr="perfu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fusion.jpg"/>
                          <pic:cNvPicPr/>
                        </pic:nvPicPr>
                        <pic:blipFill>
                          <a:blip r:embed="rId5" cstate="print"/>
                          <a:stretch>
                            <a:fillRect/>
                          </a:stretch>
                        </pic:blipFill>
                        <pic:spPr>
                          <a:xfrm>
                            <a:off x="0" y="0"/>
                            <a:ext cx="1039368" cy="762000"/>
                          </a:xfrm>
                          <a:prstGeom prst="rect">
                            <a:avLst/>
                          </a:prstGeom>
                        </pic:spPr>
                      </pic:pic>
                    </a:graphicData>
                  </a:graphic>
                </wp:inline>
              </w:drawing>
            </w:r>
          </w:p>
        </w:tc>
        <w:tc>
          <w:tcPr>
            <w:tcW w:w="7122" w:type="dxa"/>
            <w:vAlign w:val="center"/>
          </w:tcPr>
          <w:p w:rsidR="00707FA1" w:rsidRPr="00130766" w:rsidRDefault="00707FA1" w:rsidP="009D0B8F">
            <w:pPr>
              <w:pStyle w:val="Titre1"/>
              <w:outlineLvl w:val="0"/>
            </w:pPr>
            <w:bookmarkStart w:id="0" w:name="_Toc436419085"/>
            <w:bookmarkStart w:id="1" w:name="_Toc465204379"/>
            <w:r w:rsidRPr="00130766">
              <w:t xml:space="preserve">Le coin </w:t>
            </w:r>
            <w:r w:rsidRPr="000910F9">
              <w:t>du</w:t>
            </w:r>
            <w:bookmarkStart w:id="2" w:name="_Toc436419086"/>
            <w:bookmarkEnd w:id="0"/>
            <w:r>
              <w:t xml:space="preserve"> </w:t>
            </w:r>
            <w:r w:rsidRPr="000910F9">
              <w:t>prescripteur</w:t>
            </w:r>
            <w:bookmarkEnd w:id="1"/>
            <w:bookmarkEnd w:id="2"/>
          </w:p>
        </w:tc>
      </w:tr>
    </w:tbl>
    <w:p w:rsidR="00707FA1" w:rsidRDefault="00707FA1" w:rsidP="00707FA1">
      <w:pPr>
        <w:pStyle w:val="Titre2"/>
      </w:pPr>
      <w:bookmarkStart w:id="3" w:name="_Toc465204380"/>
      <w:r>
        <w:t>Traitement de la maladie de Basedow chez les femmes en âge de procréer</w:t>
      </w:r>
      <w:bookmarkEnd w:id="3"/>
    </w:p>
    <w:p w:rsidR="00707FA1" w:rsidRPr="000B3D4E" w:rsidRDefault="00707FA1" w:rsidP="00707FA1">
      <w:pPr>
        <w:pStyle w:val="Corpsdetexte"/>
        <w:spacing w:before="20"/>
        <w:jc w:val="left"/>
        <w:rPr>
          <w:rStyle w:val="Accentuationlgre"/>
        </w:rPr>
      </w:pPr>
      <w:proofErr w:type="spellStart"/>
      <w:r w:rsidRPr="000B3D4E">
        <w:rPr>
          <w:rStyle w:val="Accentuationlgre"/>
        </w:rPr>
        <w:t>Prunty</w:t>
      </w:r>
      <w:proofErr w:type="spellEnd"/>
      <w:r w:rsidRPr="000B3D4E">
        <w:rPr>
          <w:rStyle w:val="Accentuationlgre"/>
        </w:rPr>
        <w:t xml:space="preserve"> JJ et al. Graves’ disease pharmacotherapy in women of reproductive age. Pharmacotherapy </w:t>
      </w:r>
      <w:proofErr w:type="gramStart"/>
      <w:r w:rsidRPr="000B3D4E">
        <w:rPr>
          <w:rStyle w:val="Accentuationlgre"/>
        </w:rPr>
        <w:t>2016 ;</w:t>
      </w:r>
      <w:proofErr w:type="gramEnd"/>
      <w:r w:rsidRPr="000B3D4E">
        <w:rPr>
          <w:rStyle w:val="Accentuationlgre"/>
        </w:rPr>
        <w:t xml:space="preserve"> 36(1) : 64-83.</w:t>
      </w:r>
    </w:p>
    <w:p w:rsidR="00707FA1" w:rsidRPr="000B3D4E" w:rsidRDefault="00707FA1" w:rsidP="00707FA1">
      <w:pPr>
        <w:pStyle w:val="Corpsdetexte"/>
        <w:spacing w:before="20"/>
        <w:jc w:val="left"/>
        <w:rPr>
          <w:rStyle w:val="Accentuationlgre"/>
        </w:rPr>
      </w:pPr>
    </w:p>
    <w:p w:rsidR="00707FA1" w:rsidRDefault="00707FA1" w:rsidP="00707FA1">
      <w:r>
        <w:t>La maladie de Basedow (ou maladie de Graves) est une pathologie thyroïdienne auto-immune au cours de laquelle les anticorps surstimulent la thyroïde, et induisent une hyperthyroïdie. C’est la cause la plus fréquente d’hyperthyroïdie auto-immune pendant la grossesse. Les modifications hormonales et métaboliques liées à la grossesse ont un impact important sur la thyroïde. La hCG (sécrétée par le placenta) est structurellement proche de la TSH, et elle induit une stimulation de la thyroïde, avec augmentation de la sécrétion d’hormones thyroïdiennes, surtout pendant le 1</w:t>
      </w:r>
      <w:r>
        <w:rPr>
          <w:vertAlign w:val="superscript"/>
        </w:rPr>
        <w:t>er </w:t>
      </w:r>
      <w:r>
        <w:t>trimestre de la grossesse, parallèlement à une baisse de la sécrétion de TSH en réponse. Une aggravation de la symptomatologie est donc courante pendant le 1</w:t>
      </w:r>
      <w:r>
        <w:rPr>
          <w:vertAlign w:val="superscript"/>
        </w:rPr>
        <w:t>er</w:t>
      </w:r>
      <w:r>
        <w:t> trimestre de la grossesse, suivie par une amélioration pendant les 2 trimestres suivants. Chez environ 1/3 des femmes, une rémission spontanée est constatée pendant le 3</w:t>
      </w:r>
      <w:r>
        <w:rPr>
          <w:vertAlign w:val="superscript"/>
        </w:rPr>
        <w:t>ème </w:t>
      </w:r>
      <w:r>
        <w:t>trimestre, et le traitement pourra alors être arrêté. Une rechute est fréquente après l’accouchement, et des bilans thyroïdiens réguliers sont recommandés pendant la 1</w:t>
      </w:r>
      <w:r>
        <w:rPr>
          <w:vertAlign w:val="superscript"/>
        </w:rPr>
        <w:t>ère </w:t>
      </w:r>
      <w:r>
        <w:t>année post-partum. L’hyperthyroïdie gestationnelle transitoire est la cause la plus fréquente d’hyperthyroïdie pendant le 1</w:t>
      </w:r>
      <w:r>
        <w:rPr>
          <w:vertAlign w:val="superscript"/>
        </w:rPr>
        <w:t>er </w:t>
      </w:r>
      <w:r>
        <w:t xml:space="preserve">trimestre de la grossesse, en particulier chez les femmes présentant une </w:t>
      </w:r>
      <w:proofErr w:type="spellStart"/>
      <w:r>
        <w:t>hyperémèse</w:t>
      </w:r>
      <w:proofErr w:type="spellEnd"/>
      <w:r>
        <w:t xml:space="preserve"> gravidique. Le traitement médical de la maladie de Basedow fait appel aux antithyroïdiens de synthèse. En cas d’échec, on pourra pratiquer une thyroïdectomie partielle ou totale, ou un traitement par iode radioactif. Chez les femmes qui sont enceintes au moment du diagnostic, ou qui le deviennent alors qu’elles sont traitées, il est nécessaire de choisir le traitement le plus adapté à la fois à la femme et au fœtus. </w:t>
      </w:r>
    </w:p>
    <w:p w:rsidR="00707FA1" w:rsidRDefault="00707FA1" w:rsidP="00707FA1">
      <w:pPr>
        <w:pStyle w:val="Titre3"/>
      </w:pPr>
      <w:bookmarkStart w:id="4" w:name="_Toc465204381"/>
      <w:r>
        <w:t xml:space="preserve">Les </w:t>
      </w:r>
      <w:proofErr w:type="spellStart"/>
      <w:r>
        <w:t>antithyroïdiens</w:t>
      </w:r>
      <w:proofErr w:type="spellEnd"/>
      <w:r>
        <w:t xml:space="preserve"> de </w:t>
      </w:r>
      <w:proofErr w:type="spellStart"/>
      <w:r>
        <w:t>synthèse</w:t>
      </w:r>
      <w:bookmarkEnd w:id="4"/>
      <w:proofErr w:type="spellEnd"/>
      <w:r>
        <w:t xml:space="preserve"> </w:t>
      </w:r>
    </w:p>
    <w:p w:rsidR="00707FA1" w:rsidRDefault="00707FA1" w:rsidP="00707FA1">
      <w:r>
        <w:t xml:space="preserve">Ils sont le traitement de première intention : </w:t>
      </w:r>
      <w:proofErr w:type="spellStart"/>
      <w:r>
        <w:t>benzylthiouracile</w:t>
      </w:r>
      <w:proofErr w:type="spellEnd"/>
      <w:r>
        <w:t xml:space="preserve">, </w:t>
      </w:r>
      <w:proofErr w:type="spellStart"/>
      <w:r>
        <w:t>prophythiouracile</w:t>
      </w:r>
      <w:proofErr w:type="spellEnd"/>
      <w:r>
        <w:t xml:space="preserve">, </w:t>
      </w:r>
      <w:proofErr w:type="spellStart"/>
      <w:r>
        <w:t>carbimazole</w:t>
      </w:r>
      <w:proofErr w:type="spellEnd"/>
      <w:r>
        <w:t xml:space="preserve">, à une posologie permettant d’obtenir un taux normal ou légèrement supérieur à la normale des hormones thyroïdiennes, et d’éviter une hypothyroïdie importante chez le fœtus. </w:t>
      </w:r>
    </w:p>
    <w:p w:rsidR="00707FA1" w:rsidRPr="00D250C5" w:rsidRDefault="00707FA1" w:rsidP="00707FA1">
      <w:pPr>
        <w:pStyle w:val="Corpsdetexte"/>
        <w:spacing w:before="20"/>
        <w:jc w:val="left"/>
        <w:rPr>
          <w:rFonts w:ascii="Times New Roman" w:hAnsi="Times New Roman"/>
          <w:sz w:val="18"/>
          <w:szCs w:val="18"/>
        </w:rPr>
      </w:pPr>
    </w:p>
    <w:p w:rsidR="00707FA1" w:rsidRDefault="00707FA1" w:rsidP="00707FA1">
      <w:r>
        <w:t xml:space="preserve">Le </w:t>
      </w:r>
      <w:proofErr w:type="spellStart"/>
      <w:r w:rsidRPr="001A1B6F">
        <w:rPr>
          <w:b/>
          <w:bCs/>
        </w:rPr>
        <w:t>carbimazole</w:t>
      </w:r>
      <w:proofErr w:type="spellEnd"/>
      <w:r w:rsidRPr="001A1B6F">
        <w:rPr>
          <w:b/>
          <w:bCs/>
        </w:rPr>
        <w:t xml:space="preserve"> </w:t>
      </w:r>
      <w:r w:rsidRPr="005C7FF6">
        <w:rPr>
          <w:b/>
        </w:rPr>
        <w:t>(Néo-</w:t>
      </w:r>
      <w:proofErr w:type="spellStart"/>
      <w:r w:rsidRPr="005C7FF6">
        <w:rPr>
          <w:b/>
        </w:rPr>
        <w:t>Mercazole</w:t>
      </w:r>
      <w:proofErr w:type="spellEnd"/>
      <w:r w:rsidRPr="005C7FF6">
        <w:rPr>
          <w:b/>
        </w:rPr>
        <w:t>®)</w:t>
      </w:r>
      <w:r>
        <w:t xml:space="preserve"> est rapidement et complètement transformé en </w:t>
      </w:r>
      <w:proofErr w:type="spellStart"/>
      <w:r>
        <w:rPr>
          <w:b/>
          <w:bCs/>
        </w:rPr>
        <w:t>méthimazole</w:t>
      </w:r>
      <w:proofErr w:type="spellEnd"/>
      <w:r>
        <w:rPr>
          <w:b/>
          <w:bCs/>
        </w:rPr>
        <w:t xml:space="preserve"> </w:t>
      </w:r>
      <w:r w:rsidRPr="005C7FF6">
        <w:t>non commercialisé en France</w:t>
      </w:r>
      <w:r>
        <w:rPr>
          <w:b/>
          <w:bCs/>
        </w:rPr>
        <w:t xml:space="preserve"> (ou </w:t>
      </w:r>
      <w:proofErr w:type="spellStart"/>
      <w:r w:rsidRPr="001A1B6F">
        <w:rPr>
          <w:b/>
          <w:bCs/>
        </w:rPr>
        <w:t>thiamazol</w:t>
      </w:r>
      <w:proofErr w:type="spellEnd"/>
      <w:r w:rsidRPr="001A1B6F">
        <w:rPr>
          <w:b/>
          <w:bCs/>
        </w:rPr>
        <w:t xml:space="preserve">, </w:t>
      </w:r>
      <w:proofErr w:type="spellStart"/>
      <w:r w:rsidRPr="005C7FF6">
        <w:rPr>
          <w:b/>
        </w:rPr>
        <w:t>Thyrozol</w:t>
      </w:r>
      <w:proofErr w:type="spellEnd"/>
      <w:r w:rsidRPr="005C7FF6">
        <w:rPr>
          <w:b/>
        </w:rPr>
        <w:t>®),</w:t>
      </w:r>
      <w:r w:rsidRPr="001A1B6F">
        <w:t xml:space="preserve"> qui</w:t>
      </w:r>
      <w:r>
        <w:t xml:space="preserve"> est le métabolite actif. Sa demi-vie varie de 4 à 12 heures suivant les patients. Il n’est quasiment pas lié aux protéines plasmatiques. La posologie pédiatrique est de 0,5 à 0,7 mg/kg/jour en traitement d’attaque, puis de 30 à 60 % de cette dose en traitement d’entretien. Des études ont évalué l’excrétion lactée du </w:t>
      </w:r>
      <w:proofErr w:type="spellStart"/>
      <w:r>
        <w:t>méthimazole</w:t>
      </w:r>
      <w:proofErr w:type="spellEnd"/>
      <w:r>
        <w:t xml:space="preserve"> chez des femmes qui étaient déjà traitées pendant leur grossesse, ou qui avaient débuté un traitement pendant leur allaitement ; les posologies allaient de 5 à 40 mg/jour. Globalement, le traitement maternel par </w:t>
      </w:r>
      <w:proofErr w:type="spellStart"/>
      <w:r>
        <w:t>carbimazole</w:t>
      </w:r>
      <w:proofErr w:type="spellEnd"/>
      <w:r>
        <w:t xml:space="preserve"> à des poso</w:t>
      </w:r>
      <w:r>
        <w:rPr>
          <w:szCs w:val="22"/>
        </w:rPr>
        <w:t xml:space="preserve">logies </w:t>
      </w:r>
      <w:r>
        <w:t xml:space="preserve">allant jusqu’à 20 à 30 mg/jour n’aura pas d’impact sur l’enfant allaité. Lorsque la mère reçoit des doses élevées (30 à 40 mg/jour), le taux lacté pourra être suffisant pour avoir un impact thyroïdien chez l’enfant allaité ; en particulier, des taux sanguins proches des taux thérapeutiques ont été retrouvés chez des jumeaux allaités par une mère prenant 30 mg/jour de </w:t>
      </w:r>
      <w:proofErr w:type="spellStart"/>
      <w:r>
        <w:t>carbimazole</w:t>
      </w:r>
      <w:proofErr w:type="spellEnd"/>
      <w:r>
        <w:t xml:space="preserve">. En revanche, des posologies allant jusqu’à 20 mg/jour pour des traitements </w:t>
      </w:r>
      <w:r>
        <w:lastRenderedPageBreak/>
        <w:t xml:space="preserve">au long cours n’ont pas induit d’effets secondaires chez les enfants ; les études qui ont suivi leur statut hormonal ont retrouvé chez eux des valeurs normales. </w:t>
      </w:r>
    </w:p>
    <w:p w:rsidR="00707FA1" w:rsidRDefault="00707FA1" w:rsidP="00707FA1">
      <w:r>
        <w:t xml:space="preserve">Il est donc possible d’utiliser le </w:t>
      </w:r>
      <w:proofErr w:type="spellStart"/>
      <w:r>
        <w:t>carbimazole</w:t>
      </w:r>
      <w:proofErr w:type="spellEnd"/>
      <w:r>
        <w:t xml:space="preserve"> ou le </w:t>
      </w:r>
      <w:proofErr w:type="spellStart"/>
      <w:r>
        <w:t>méthimazole</w:t>
      </w:r>
      <w:proofErr w:type="spellEnd"/>
      <w:r>
        <w:t xml:space="preserve"> pendant l’allaitement ; l’exposition de l’enfant peut être minimisée si l’administration se fait par prise unique, et si la mère le prend immédiatement après une tétée et attend 3 à 4 heures avant de mettre son enfant au sein. Les fonctions thyroïdiennes de l’enfant pourront être suivies toutes les 2 à 4 semaines pendant les premiers mois du traitement maternel (même si aucun cas de dysfonctionnement thyroïdien n’a été rapporté chez un enfant allaité), et un bilan sanguin pourra être utile pour détecter une éventuelle réaction idiosyncrasique. </w:t>
      </w:r>
    </w:p>
    <w:p w:rsidR="00707FA1" w:rsidRPr="00D250C5" w:rsidRDefault="00707FA1" w:rsidP="00707FA1">
      <w:pPr>
        <w:rPr>
          <w:sz w:val="18"/>
          <w:szCs w:val="18"/>
        </w:rPr>
      </w:pPr>
    </w:p>
    <w:p w:rsidR="00707FA1" w:rsidRDefault="00707FA1" w:rsidP="00707FA1">
      <w:r>
        <w:t xml:space="preserve">Il n’existe aucune donnée sur l’excrétion lactée du </w:t>
      </w:r>
      <w:proofErr w:type="spellStart"/>
      <w:r w:rsidRPr="001A1B6F">
        <w:rPr>
          <w:b/>
          <w:bCs/>
        </w:rPr>
        <w:t>benzylthiouracile</w:t>
      </w:r>
      <w:proofErr w:type="spellEnd"/>
      <w:r w:rsidRPr="001A1B6F">
        <w:rPr>
          <w:b/>
          <w:bCs/>
        </w:rPr>
        <w:t xml:space="preserve"> </w:t>
      </w:r>
      <w:r w:rsidRPr="005C7FF6">
        <w:rPr>
          <w:b/>
        </w:rPr>
        <w:t>(</w:t>
      </w:r>
      <w:proofErr w:type="spellStart"/>
      <w:r w:rsidRPr="005C7FF6">
        <w:rPr>
          <w:b/>
        </w:rPr>
        <w:t>Basdène</w:t>
      </w:r>
      <w:proofErr w:type="spellEnd"/>
      <w:r w:rsidRPr="005C7FF6">
        <w:rPr>
          <w:b/>
        </w:rPr>
        <w:t>®)</w:t>
      </w:r>
      <w:r w:rsidRPr="005C7FF6">
        <w:t>,</w:t>
      </w:r>
      <w:r>
        <w:t xml:space="preserve"> et il est donc recommandé de privilégier un autre traitement.</w:t>
      </w:r>
    </w:p>
    <w:p w:rsidR="00707FA1" w:rsidRPr="00D250C5" w:rsidRDefault="00707FA1" w:rsidP="00707FA1">
      <w:pPr>
        <w:rPr>
          <w:sz w:val="18"/>
          <w:szCs w:val="18"/>
        </w:rPr>
      </w:pPr>
    </w:p>
    <w:p w:rsidR="00707FA1" w:rsidRDefault="00707FA1" w:rsidP="00707FA1">
      <w:r>
        <w:t xml:space="preserve">Le </w:t>
      </w:r>
      <w:proofErr w:type="spellStart"/>
      <w:r>
        <w:rPr>
          <w:b/>
          <w:bCs/>
        </w:rPr>
        <w:t>propylthiouracile</w:t>
      </w:r>
      <w:proofErr w:type="spellEnd"/>
      <w:r w:rsidRPr="005C7FF6">
        <w:rPr>
          <w:b/>
        </w:rPr>
        <w:t xml:space="preserve"> ou PTU (</w:t>
      </w:r>
      <w:proofErr w:type="spellStart"/>
      <w:r w:rsidRPr="005C7FF6">
        <w:rPr>
          <w:b/>
        </w:rPr>
        <w:t>Propylex</w:t>
      </w:r>
      <w:proofErr w:type="spellEnd"/>
      <w:r w:rsidRPr="005C7FF6">
        <w:rPr>
          <w:b/>
        </w:rPr>
        <w:t>®)</w:t>
      </w:r>
      <w:r w:rsidRPr="005C7FF6">
        <w:t xml:space="preserve"> est</w:t>
      </w:r>
      <w:r>
        <w:t xml:space="preserve"> généralement considéré comme le traitement de première intention chez la femme enceinte et allaitante. La posologie habituelle est de 200 à 300 mg/jour chez les adultes, et de 50 à 150 mg/jour chez les enfants (5 à 10 mg/kg/jour en traitement d’attaque, puis 1/3 à 2/3 de cette dose en traitement d’entretien). Il est lié à 80 % aux protéines plasmatiques, et sa demi-vie est de 1 à 2 heures. Le PTU passe faiblement dans le lait ; un quelconque effet indésirable chez l’enfant allaité est hautement improbable avec une dose aussi faible, et aucun n’a jamais été rapporté. Avec des doses &gt; 450 mg/jour, il est recommandé de prendre le PTU juste après une tétée et d’attendre 3 à 4 heures avant de mettre l’enfant au sein, afin de limiter la quantité absorbée via le lait maternel. </w:t>
      </w:r>
    </w:p>
    <w:p w:rsidR="00707FA1" w:rsidRPr="00D250C5" w:rsidRDefault="00707FA1" w:rsidP="00707FA1">
      <w:pPr>
        <w:rPr>
          <w:sz w:val="18"/>
          <w:szCs w:val="18"/>
        </w:rPr>
      </w:pPr>
    </w:p>
    <w:p w:rsidR="00707FA1" w:rsidRDefault="00707FA1" w:rsidP="00707FA1">
      <w:r>
        <w:t xml:space="preserve">On a récemment constaté que les troubles hépatiques étaient plus fréquents chez les personnes traitées par PTU que chez celles traitées par </w:t>
      </w:r>
      <w:proofErr w:type="spellStart"/>
      <w:r>
        <w:t>méthimazole</w:t>
      </w:r>
      <w:proofErr w:type="spellEnd"/>
      <w:r>
        <w:t xml:space="preserve">. Aucun effet secondaire hépatique n’a jamais été constaté chez des bébés allaités par une mère traitée par PTU, et on ignore si la faible quantité de PTU excrétée dans le lait pourrait induire un tel effet secondaire. Cependant, cela soulève des questions sur le traitement des mères allaitantes : faut-il préférer le PTU qui passe très peu dans le lait, ou le </w:t>
      </w:r>
      <w:proofErr w:type="spellStart"/>
      <w:r>
        <w:t>carbimazole</w:t>
      </w:r>
      <w:proofErr w:type="spellEnd"/>
      <w:r>
        <w:t xml:space="preserve"> dont les effets secondaires hépatiques sont nettement plus rares ? Ce dernier pourrait être préférable si la dose efficace est basse. D’autres études sur le traitement optimal de l’hyperthyroïdie chez la femme enceinte et allaitante seraient nécessaires. Les diverses options seront discutées avec la mère, incluant l’impact éventuel sur le fœtus et la gestion d’un dysfonctionnement thyroïdien chez le nouveau-né suite au traitement maternel pendant la grossesse. Il sera utile de suivre l’enfant, et d’effectuer les bilans appropriés si on a des raisons de suspecter une toxicité hépatique ou une dyscrasie sanguine lorsque la mère allaite en prenant des antithyroïdiens. Les fonctions thyroïdiennes de l’enfant pourront être suivies toutes les 2 à 4 semaines par mesure de précaution. Des bilans seront effectués régulièrement chez la mère afin de lui prescrire la posologie efficace la plus basse possible. </w:t>
      </w:r>
    </w:p>
    <w:p w:rsidR="00707FA1" w:rsidRPr="00D250C5" w:rsidRDefault="00707FA1" w:rsidP="00707FA1">
      <w:pPr>
        <w:rPr>
          <w:sz w:val="18"/>
          <w:szCs w:val="18"/>
        </w:rPr>
      </w:pPr>
    </w:p>
    <w:p w:rsidR="00707FA1" w:rsidRDefault="00707FA1" w:rsidP="00707FA1">
      <w:r>
        <w:t xml:space="preserve">La </w:t>
      </w:r>
      <w:r>
        <w:rPr>
          <w:rFonts w:hint="eastAsia"/>
        </w:rPr>
        <w:t>« </w:t>
      </w:r>
      <w:r>
        <w:t>tempête de la thyroïde</w:t>
      </w:r>
      <w:r>
        <w:rPr>
          <w:rFonts w:hint="eastAsia"/>
        </w:rPr>
        <w:t> »</w:t>
      </w:r>
      <w:r>
        <w:t xml:space="preserve"> (ou </w:t>
      </w:r>
      <w:r>
        <w:rPr>
          <w:rFonts w:hint="eastAsia"/>
        </w:rPr>
        <w:t>« </w:t>
      </w:r>
      <w:r w:rsidRPr="00D74A66">
        <w:t xml:space="preserve">tempête </w:t>
      </w:r>
      <w:proofErr w:type="spellStart"/>
      <w:r w:rsidRPr="00D74A66">
        <w:t>thyréotoxique</w:t>
      </w:r>
      <w:proofErr w:type="spellEnd"/>
      <w:r w:rsidRPr="00D74A66">
        <w:t> »)</w:t>
      </w:r>
      <w:r>
        <w:t xml:space="preserve"> est une complication rare mais sévère de l’hyperthyroïdie, qui doit être identifiée et traitée le plus rapidement possible pour prévenir les complications chez la mère et le fœtus en cas de survenue pendant la grossesse. Elle peut induire des défaillances multiviscérales. La femme devra être hospitalisée dans un service de soins intensifs. Le traitement visera à réduire le taux d’hormones thyroïdiennes, et à gérer les éventuelles complications. On utilisera les antithyroïdiens (essentiellement le PTU), l’iode (iodure de sodium ou de potassium, </w:t>
      </w:r>
      <w:r w:rsidRPr="00D74A66">
        <w:t>soluté de</w:t>
      </w:r>
      <w:r>
        <w:t xml:space="preserve"> Lugol) les corticoïdes, les bêta-bloquants… L’état de la mère nécessitera souvent une suspension de l’allaitement, qui sera </w:t>
      </w:r>
      <w:proofErr w:type="gramStart"/>
      <w:r>
        <w:t>également</w:t>
      </w:r>
      <w:proofErr w:type="gramEnd"/>
      <w:r>
        <w:t xml:space="preserve"> fonction des traitements institués.</w:t>
      </w:r>
    </w:p>
    <w:p w:rsidR="00707FA1" w:rsidRDefault="00707FA1" w:rsidP="00707FA1">
      <w:pPr>
        <w:pStyle w:val="Titre3"/>
      </w:pPr>
      <w:bookmarkStart w:id="5" w:name="_Toc465204382"/>
      <w:proofErr w:type="spellStart"/>
      <w:r>
        <w:t>Autres</w:t>
      </w:r>
      <w:proofErr w:type="spellEnd"/>
      <w:r>
        <w:t xml:space="preserve"> </w:t>
      </w:r>
      <w:proofErr w:type="spellStart"/>
      <w:r>
        <w:t>traitements</w:t>
      </w:r>
      <w:bookmarkEnd w:id="5"/>
      <w:proofErr w:type="spellEnd"/>
    </w:p>
    <w:p w:rsidR="00707FA1" w:rsidRDefault="00707FA1" w:rsidP="00707FA1">
      <w:r>
        <w:t xml:space="preserve">La </w:t>
      </w:r>
      <w:r>
        <w:rPr>
          <w:b/>
          <w:bCs/>
        </w:rPr>
        <w:t>chirurgie</w:t>
      </w:r>
      <w:r>
        <w:t xml:space="preserve"> (thyroïdectomie partielle ou totale) devrait être réservée aux cas les plus sévères, et pratiquée uniquement pendant le 2</w:t>
      </w:r>
      <w:r>
        <w:rPr>
          <w:vertAlign w:val="superscript"/>
        </w:rPr>
        <w:t>ème</w:t>
      </w:r>
      <w:r>
        <w:t xml:space="preserve"> trimestre chez la femme enceinte. </w:t>
      </w:r>
      <w:r>
        <w:rPr>
          <w:b/>
          <w:bCs/>
        </w:rPr>
        <w:t>L’iode radioactif</w:t>
      </w:r>
      <w:r>
        <w:t xml:space="preserve"> sera utilisé uniquement chez les femmes non enceintes et non allaitantes en raison des risques </w:t>
      </w:r>
      <w:r>
        <w:lastRenderedPageBreak/>
        <w:t xml:space="preserve">liés à l’irradiation du fœtus ou du nourrisson. Un délai de 6 mois entre la fin du traitement et la conception est recommandé. Si la femme devient enceinte sous traitement, la radiothérapie à l’iode devra être immédiatement stoppée. </w:t>
      </w:r>
    </w:p>
    <w:p w:rsidR="00707FA1" w:rsidRDefault="00707FA1" w:rsidP="00707FA1">
      <w:pPr>
        <w:pStyle w:val="Titre3"/>
      </w:pPr>
      <w:bookmarkStart w:id="6" w:name="_Toc465204383"/>
      <w:proofErr w:type="spellStart"/>
      <w:r>
        <w:t>Références</w:t>
      </w:r>
      <w:bookmarkEnd w:id="6"/>
      <w:proofErr w:type="spellEnd"/>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proofErr w:type="spellStart"/>
      <w:r w:rsidRPr="00B6516C">
        <w:rPr>
          <w:rStyle w:val="Accentuationlgre"/>
        </w:rPr>
        <w:t>Abalovich</w:t>
      </w:r>
      <w:proofErr w:type="spellEnd"/>
      <w:r w:rsidRPr="00B6516C">
        <w:rPr>
          <w:rStyle w:val="Accentuationlgre"/>
        </w:rPr>
        <w:t xml:space="preserve"> M et al. Management of thyroid dysfunction during pregnancy and </w:t>
      </w:r>
      <w:proofErr w:type="gramStart"/>
      <w:r w:rsidRPr="00B6516C">
        <w:rPr>
          <w:rStyle w:val="Accentuationlgre"/>
        </w:rPr>
        <w:t>postpartum :</w:t>
      </w:r>
      <w:proofErr w:type="gramEnd"/>
      <w:r w:rsidRPr="00B6516C">
        <w:rPr>
          <w:rStyle w:val="Accentuationlgre"/>
        </w:rPr>
        <w:t xml:space="preserve"> an Endocrine Society Clinical Practice Guideline. J Clin Endocrinol </w:t>
      </w:r>
      <w:proofErr w:type="spellStart"/>
      <w:r w:rsidRPr="00B6516C">
        <w:rPr>
          <w:rStyle w:val="Accentuationlgre"/>
        </w:rPr>
        <w:t>Metab</w:t>
      </w:r>
      <w:proofErr w:type="spellEnd"/>
      <w:r w:rsidRPr="00B6516C">
        <w:rPr>
          <w:rStyle w:val="Accentuationlgre"/>
        </w:rPr>
        <w:t xml:space="preserve"> </w:t>
      </w:r>
      <w:proofErr w:type="gramStart"/>
      <w:r w:rsidRPr="00B6516C">
        <w:rPr>
          <w:rStyle w:val="Accentuationlgre"/>
        </w:rPr>
        <w:t>2007 ;</w:t>
      </w:r>
      <w:proofErr w:type="gramEnd"/>
      <w:r w:rsidRPr="00B6516C">
        <w:rPr>
          <w:rStyle w:val="Accentuationlgre"/>
        </w:rPr>
        <w:t xml:space="preserve"> 92(8 suppl) : S1-47.</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r w:rsidRPr="00B6516C">
        <w:rPr>
          <w:rStyle w:val="Accentuationlgre"/>
        </w:rPr>
        <w:t>American College of Obstetricians and Gynecologists. Practice Bulletin N°</w:t>
      </w:r>
      <w:proofErr w:type="gramStart"/>
      <w:r w:rsidRPr="00B6516C">
        <w:rPr>
          <w:rStyle w:val="Accentuationlgre"/>
        </w:rPr>
        <w:t>148 :</w:t>
      </w:r>
      <w:proofErr w:type="gramEnd"/>
      <w:r w:rsidRPr="00B6516C">
        <w:rPr>
          <w:rStyle w:val="Accentuationlgre"/>
        </w:rPr>
        <w:t xml:space="preserve"> thyroid disease in pregnancy. </w:t>
      </w:r>
      <w:proofErr w:type="spellStart"/>
      <w:r w:rsidRPr="00B6516C">
        <w:rPr>
          <w:rStyle w:val="Accentuationlgre"/>
        </w:rPr>
        <w:t>Obstet</w:t>
      </w:r>
      <w:proofErr w:type="spellEnd"/>
      <w:r w:rsidRPr="00B6516C">
        <w:rPr>
          <w:rStyle w:val="Accentuationlgre"/>
        </w:rPr>
        <w:t xml:space="preserve"> </w:t>
      </w:r>
      <w:proofErr w:type="spellStart"/>
      <w:r w:rsidRPr="00B6516C">
        <w:rPr>
          <w:rStyle w:val="Accentuationlgre"/>
        </w:rPr>
        <w:t>Gynecol</w:t>
      </w:r>
      <w:proofErr w:type="spellEnd"/>
      <w:r w:rsidRPr="00B6516C">
        <w:rPr>
          <w:rStyle w:val="Accentuationlgre"/>
        </w:rPr>
        <w:t xml:space="preserve"> </w:t>
      </w:r>
      <w:proofErr w:type="gramStart"/>
      <w:r w:rsidRPr="00B6516C">
        <w:rPr>
          <w:rStyle w:val="Accentuationlgre"/>
        </w:rPr>
        <w:t>2015 ;</w:t>
      </w:r>
      <w:proofErr w:type="gramEnd"/>
      <w:r w:rsidRPr="00B6516C">
        <w:rPr>
          <w:rStyle w:val="Accentuationlgre"/>
        </w:rPr>
        <w:t xml:space="preserve"> 125(4) : 996-1005.</w:t>
      </w:r>
    </w:p>
    <w:p w:rsidR="00707FA1" w:rsidRPr="00B6516C" w:rsidRDefault="00707FA1" w:rsidP="00707FA1">
      <w:pPr>
        <w:numPr>
          <w:ilvl w:val="0"/>
          <w:numId w:val="1"/>
        </w:numPr>
        <w:tabs>
          <w:tab w:val="clear" w:pos="720"/>
          <w:tab w:val="num" w:pos="180"/>
        </w:tabs>
        <w:ind w:left="180" w:hanging="180"/>
        <w:rPr>
          <w:rStyle w:val="Accentuationlgre"/>
        </w:rPr>
      </w:pPr>
      <w:r w:rsidRPr="00B6516C">
        <w:rPr>
          <w:rStyle w:val="Accentuationlgre"/>
        </w:rPr>
        <w:t xml:space="preserve">Azizi F et al. Intellectual development and thyroid function in children who were breast-fed by </w:t>
      </w:r>
      <w:proofErr w:type="spellStart"/>
      <w:r w:rsidRPr="00B6516C">
        <w:rPr>
          <w:rStyle w:val="Accentuationlgre"/>
        </w:rPr>
        <w:t>thyro</w:t>
      </w:r>
      <w:r>
        <w:rPr>
          <w:rStyle w:val="Accentuationlgre"/>
        </w:rPr>
        <w:t>toxic</w:t>
      </w:r>
      <w:proofErr w:type="spellEnd"/>
      <w:r>
        <w:rPr>
          <w:rStyle w:val="Accentuationlgre"/>
        </w:rPr>
        <w:t xml:space="preserve"> mothers taking methi</w:t>
      </w:r>
      <w:r w:rsidRPr="00B6516C">
        <w:rPr>
          <w:rStyle w:val="Accentuationlgre"/>
        </w:rPr>
        <w:t xml:space="preserve">mazole. J </w:t>
      </w:r>
      <w:proofErr w:type="spellStart"/>
      <w:r w:rsidRPr="00B6516C">
        <w:rPr>
          <w:rStyle w:val="Accentuationlgre"/>
        </w:rPr>
        <w:t>Pediatr</w:t>
      </w:r>
      <w:proofErr w:type="spellEnd"/>
      <w:r w:rsidRPr="00B6516C">
        <w:rPr>
          <w:rStyle w:val="Accentuationlgre"/>
        </w:rPr>
        <w:t xml:space="preserve"> Endocrinol </w:t>
      </w:r>
      <w:proofErr w:type="spellStart"/>
      <w:r w:rsidRPr="00B6516C">
        <w:rPr>
          <w:rStyle w:val="Accentuationlgre"/>
        </w:rPr>
        <w:t>Metab</w:t>
      </w:r>
      <w:proofErr w:type="spellEnd"/>
      <w:r w:rsidRPr="00B6516C">
        <w:rPr>
          <w:rStyle w:val="Accentuationlgre"/>
        </w:rPr>
        <w:t xml:space="preserve"> </w:t>
      </w:r>
      <w:proofErr w:type="gramStart"/>
      <w:r w:rsidRPr="00B6516C">
        <w:rPr>
          <w:rStyle w:val="Accentuationlgre"/>
        </w:rPr>
        <w:t>2003 ;</w:t>
      </w:r>
      <w:proofErr w:type="gramEnd"/>
      <w:r w:rsidRPr="00B6516C">
        <w:rPr>
          <w:rStyle w:val="Accentuationlgre"/>
        </w:rPr>
        <w:t xml:space="preserve"> 16(9) : 1239-43. </w:t>
      </w:r>
    </w:p>
    <w:p w:rsidR="00707FA1" w:rsidRPr="00B6516C" w:rsidRDefault="00707FA1" w:rsidP="00707FA1">
      <w:pPr>
        <w:numPr>
          <w:ilvl w:val="0"/>
          <w:numId w:val="1"/>
        </w:numPr>
        <w:tabs>
          <w:tab w:val="clear" w:pos="720"/>
          <w:tab w:val="num" w:pos="180"/>
        </w:tabs>
        <w:ind w:left="180" w:hanging="180"/>
        <w:rPr>
          <w:rStyle w:val="Accentuationlgre"/>
        </w:rPr>
      </w:pPr>
      <w:r w:rsidRPr="00B6516C">
        <w:rPr>
          <w:rStyle w:val="Accentuationlgre"/>
        </w:rPr>
        <w:t xml:space="preserve">Azizi F et al. Thyroid function and intellectual development of infants nursed by mothers taking methimazole. J Clin Endocrinol </w:t>
      </w:r>
      <w:proofErr w:type="spellStart"/>
      <w:r w:rsidRPr="00B6516C">
        <w:rPr>
          <w:rStyle w:val="Accentuationlgre"/>
        </w:rPr>
        <w:t>Metab</w:t>
      </w:r>
      <w:proofErr w:type="spellEnd"/>
      <w:r w:rsidRPr="00B6516C">
        <w:rPr>
          <w:rStyle w:val="Accentuationlgre"/>
        </w:rPr>
        <w:t xml:space="preserve"> </w:t>
      </w:r>
      <w:proofErr w:type="gramStart"/>
      <w:r w:rsidRPr="00B6516C">
        <w:rPr>
          <w:rStyle w:val="Accentuationlgre"/>
        </w:rPr>
        <w:t>2000 ;</w:t>
      </w:r>
      <w:proofErr w:type="gramEnd"/>
      <w:r w:rsidRPr="00B6516C">
        <w:rPr>
          <w:rStyle w:val="Accentuationlgre"/>
        </w:rPr>
        <w:t xml:space="preserve"> 85 : 3233-8. </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r w:rsidRPr="00B6516C">
        <w:rPr>
          <w:rStyle w:val="Accentuationlgre"/>
        </w:rPr>
        <w:t xml:space="preserve">Azizi F, </w:t>
      </w:r>
      <w:proofErr w:type="spellStart"/>
      <w:r w:rsidRPr="00B6516C">
        <w:rPr>
          <w:rStyle w:val="Accentuationlgre"/>
        </w:rPr>
        <w:t>Heydayati</w:t>
      </w:r>
      <w:proofErr w:type="spellEnd"/>
      <w:r w:rsidRPr="00B6516C">
        <w:rPr>
          <w:rStyle w:val="Accentuationlgre"/>
        </w:rPr>
        <w:t xml:space="preserve"> M. Thyroid function i</w:t>
      </w:r>
      <w:r>
        <w:rPr>
          <w:rStyle w:val="Accentuationlgre"/>
        </w:rPr>
        <w:t>n breast-fed infants whose moth</w:t>
      </w:r>
      <w:r w:rsidRPr="00B6516C">
        <w:rPr>
          <w:rStyle w:val="Accentuationlgre"/>
        </w:rPr>
        <w:t xml:space="preserve">ers take high doses of methimazole. J Endocrinol Invest </w:t>
      </w:r>
      <w:proofErr w:type="gramStart"/>
      <w:r w:rsidRPr="00B6516C">
        <w:rPr>
          <w:rStyle w:val="Accentuationlgre"/>
        </w:rPr>
        <w:t>2002 ;</w:t>
      </w:r>
      <w:proofErr w:type="gramEnd"/>
      <w:r w:rsidRPr="00B6516C">
        <w:rPr>
          <w:rStyle w:val="Accentuationlgre"/>
        </w:rPr>
        <w:t xml:space="preserve"> 25 : 493-6. </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r w:rsidRPr="00B6516C">
        <w:rPr>
          <w:rStyle w:val="Accentuationlgre"/>
        </w:rPr>
        <w:t xml:space="preserve">Azizi F. Thyroid function in breast-fed infants is not affected by methimazole-induced maternal </w:t>
      </w:r>
      <w:proofErr w:type="gramStart"/>
      <w:r w:rsidRPr="00B6516C">
        <w:rPr>
          <w:rStyle w:val="Accentuationlgre"/>
        </w:rPr>
        <w:t>hypothyroidism :</w:t>
      </w:r>
      <w:proofErr w:type="gramEnd"/>
      <w:r w:rsidRPr="00B6516C">
        <w:rPr>
          <w:rStyle w:val="Accentuationlgre"/>
        </w:rPr>
        <w:t xml:space="preserve"> results of a retrospective study. J Endocrinol Invest </w:t>
      </w:r>
      <w:proofErr w:type="gramStart"/>
      <w:r w:rsidRPr="00B6516C">
        <w:rPr>
          <w:rStyle w:val="Accentuationlgre"/>
        </w:rPr>
        <w:t>2003 ;</w:t>
      </w:r>
      <w:proofErr w:type="gramEnd"/>
      <w:r w:rsidRPr="00B6516C">
        <w:rPr>
          <w:rStyle w:val="Accentuationlgre"/>
        </w:rPr>
        <w:t xml:space="preserve"> 26(4) : 301-4. </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r w:rsidRPr="00B6516C">
        <w:rPr>
          <w:rStyle w:val="Accentuationlgre"/>
        </w:rPr>
        <w:t xml:space="preserve">Chen CH et al. Risk of adverse perinatal outcomes with antithyroid treatment during </w:t>
      </w:r>
      <w:proofErr w:type="gramStart"/>
      <w:r w:rsidRPr="00B6516C">
        <w:rPr>
          <w:rStyle w:val="Accentuationlgre"/>
        </w:rPr>
        <w:t>pregnancy :</w:t>
      </w:r>
      <w:proofErr w:type="gramEnd"/>
      <w:r w:rsidRPr="00B6516C">
        <w:rPr>
          <w:rStyle w:val="Accentuationlgre"/>
        </w:rPr>
        <w:t xml:space="preserve"> a nationwide population-based study. BJOG </w:t>
      </w:r>
      <w:proofErr w:type="gramStart"/>
      <w:r w:rsidRPr="00B6516C">
        <w:rPr>
          <w:rStyle w:val="Accentuationlgre"/>
        </w:rPr>
        <w:t>2011 ;</w:t>
      </w:r>
      <w:proofErr w:type="gramEnd"/>
      <w:r w:rsidRPr="00B6516C">
        <w:rPr>
          <w:rStyle w:val="Accentuationlgre"/>
        </w:rPr>
        <w:t xml:space="preserve"> 118 : 1365-73.</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r w:rsidRPr="00B6516C">
        <w:rPr>
          <w:rStyle w:val="Accentuationlgre"/>
        </w:rPr>
        <w:t xml:space="preserve">Clementi M et al. Treatment of hyperthyroidism in pregnancy and birth defects. J Clin Endocrinol </w:t>
      </w:r>
      <w:proofErr w:type="spellStart"/>
      <w:r w:rsidRPr="00B6516C">
        <w:rPr>
          <w:rStyle w:val="Accentuationlgre"/>
        </w:rPr>
        <w:t>Metab</w:t>
      </w:r>
      <w:proofErr w:type="spellEnd"/>
      <w:r w:rsidRPr="00B6516C">
        <w:rPr>
          <w:rStyle w:val="Accentuationlgre"/>
        </w:rPr>
        <w:t xml:space="preserve"> </w:t>
      </w:r>
      <w:proofErr w:type="gramStart"/>
      <w:r w:rsidRPr="00B6516C">
        <w:rPr>
          <w:rStyle w:val="Accentuationlgre"/>
        </w:rPr>
        <w:t>2010 ;</w:t>
      </w:r>
      <w:proofErr w:type="gramEnd"/>
      <w:r w:rsidRPr="00B6516C">
        <w:rPr>
          <w:rStyle w:val="Accentuationlgre"/>
        </w:rPr>
        <w:t xml:space="preserve"> 95(11) : E337-41.</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r w:rsidRPr="00B6516C">
        <w:rPr>
          <w:rStyle w:val="Accentuationlgre"/>
        </w:rPr>
        <w:t xml:space="preserve">De Groot L et al. Management of thyroid dysfunction during pregnancy and </w:t>
      </w:r>
      <w:proofErr w:type="gramStart"/>
      <w:r w:rsidRPr="00B6516C">
        <w:rPr>
          <w:rStyle w:val="Accentuationlgre"/>
        </w:rPr>
        <w:t>postpartum :</w:t>
      </w:r>
      <w:proofErr w:type="gramEnd"/>
      <w:r w:rsidRPr="00B6516C">
        <w:rPr>
          <w:rStyle w:val="Accentuationlgre"/>
        </w:rPr>
        <w:t xml:space="preserve"> an Endocrine Society clinical practice guideline. J Clin Endocrinol </w:t>
      </w:r>
      <w:proofErr w:type="spellStart"/>
      <w:r w:rsidRPr="00B6516C">
        <w:rPr>
          <w:rStyle w:val="Accentuationlgre"/>
        </w:rPr>
        <w:t>Metab</w:t>
      </w:r>
      <w:proofErr w:type="spellEnd"/>
      <w:r w:rsidRPr="00B6516C">
        <w:rPr>
          <w:rStyle w:val="Accentuationlgre"/>
        </w:rPr>
        <w:t xml:space="preserve"> </w:t>
      </w:r>
      <w:proofErr w:type="gramStart"/>
      <w:r w:rsidRPr="00B6516C">
        <w:rPr>
          <w:rStyle w:val="Accentuationlgre"/>
        </w:rPr>
        <w:t>2012 ;</w:t>
      </w:r>
      <w:proofErr w:type="gramEnd"/>
      <w:r w:rsidRPr="00B6516C">
        <w:rPr>
          <w:rStyle w:val="Accentuationlgre"/>
        </w:rPr>
        <w:t xml:space="preserve"> 97(8) : 2543-65.</w:t>
      </w:r>
    </w:p>
    <w:p w:rsidR="00707FA1" w:rsidRPr="00B6516C" w:rsidRDefault="00707FA1" w:rsidP="00707FA1">
      <w:pPr>
        <w:numPr>
          <w:ilvl w:val="0"/>
          <w:numId w:val="1"/>
        </w:numPr>
        <w:tabs>
          <w:tab w:val="clear" w:pos="720"/>
          <w:tab w:val="num" w:pos="180"/>
        </w:tabs>
        <w:ind w:left="180" w:hanging="180"/>
        <w:rPr>
          <w:rStyle w:val="Accentuationlgre"/>
        </w:rPr>
      </w:pPr>
      <w:r w:rsidRPr="00B6516C">
        <w:rPr>
          <w:rStyle w:val="Accentuationlgre"/>
        </w:rPr>
        <w:t xml:space="preserve">FDA. Propylthiouracil (PTU)-induced liver failure. FDA Alert. June 3, 2009. </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proofErr w:type="spellStart"/>
      <w:r w:rsidRPr="00B6516C">
        <w:rPr>
          <w:rStyle w:val="Accentuationlgre"/>
        </w:rPr>
        <w:t>Fumarola</w:t>
      </w:r>
      <w:proofErr w:type="spellEnd"/>
      <w:r w:rsidRPr="00B6516C">
        <w:rPr>
          <w:rStyle w:val="Accentuationlgre"/>
        </w:rPr>
        <w:t xml:space="preserve"> A et al. Therapy of hyperthyroidism in pregnancy and breastfeeding. </w:t>
      </w:r>
      <w:proofErr w:type="spellStart"/>
      <w:r w:rsidRPr="00B6516C">
        <w:rPr>
          <w:rStyle w:val="Accentuationlgre"/>
        </w:rPr>
        <w:t>Obstet</w:t>
      </w:r>
      <w:proofErr w:type="spellEnd"/>
      <w:r w:rsidRPr="00B6516C">
        <w:rPr>
          <w:rStyle w:val="Accentuationlgre"/>
        </w:rPr>
        <w:t xml:space="preserve"> </w:t>
      </w:r>
      <w:proofErr w:type="spellStart"/>
      <w:r w:rsidRPr="00B6516C">
        <w:rPr>
          <w:rStyle w:val="Accentuationlgre"/>
        </w:rPr>
        <w:t>Gynecol</w:t>
      </w:r>
      <w:proofErr w:type="spellEnd"/>
      <w:r w:rsidRPr="00B6516C">
        <w:rPr>
          <w:rStyle w:val="Accentuationlgre"/>
        </w:rPr>
        <w:t xml:space="preserve"> </w:t>
      </w:r>
      <w:proofErr w:type="spellStart"/>
      <w:r w:rsidRPr="00B6516C">
        <w:rPr>
          <w:rStyle w:val="Accentuationlgre"/>
        </w:rPr>
        <w:t>Surv</w:t>
      </w:r>
      <w:proofErr w:type="spellEnd"/>
      <w:r w:rsidRPr="00B6516C">
        <w:rPr>
          <w:rStyle w:val="Accentuationlgre"/>
        </w:rPr>
        <w:t xml:space="preserve"> </w:t>
      </w:r>
      <w:proofErr w:type="gramStart"/>
      <w:r w:rsidRPr="00B6516C">
        <w:rPr>
          <w:rStyle w:val="Accentuationlgre"/>
        </w:rPr>
        <w:t>2011 ;</w:t>
      </w:r>
      <w:proofErr w:type="gramEnd"/>
      <w:r w:rsidRPr="00B6516C">
        <w:rPr>
          <w:rStyle w:val="Accentuationlgre"/>
        </w:rPr>
        <w:t xml:space="preserve"> 66 : 378-85.</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proofErr w:type="spellStart"/>
      <w:r w:rsidRPr="00B6516C">
        <w:rPr>
          <w:rStyle w:val="Accentuationlgre"/>
        </w:rPr>
        <w:t>Karras</w:t>
      </w:r>
      <w:proofErr w:type="spellEnd"/>
      <w:r w:rsidRPr="00B6516C">
        <w:rPr>
          <w:rStyle w:val="Accentuationlgre"/>
        </w:rPr>
        <w:t xml:space="preserve"> S et al. Antithyroid drugs used in the treatment of hyperthyroidism during breast feeding. An update and new perspectives. Hormones </w:t>
      </w:r>
      <w:proofErr w:type="gramStart"/>
      <w:r w:rsidRPr="00B6516C">
        <w:rPr>
          <w:rStyle w:val="Accentuationlgre"/>
        </w:rPr>
        <w:t>2009 ;</w:t>
      </w:r>
      <w:proofErr w:type="gramEnd"/>
      <w:r w:rsidRPr="00B6516C">
        <w:rPr>
          <w:rStyle w:val="Accentuationlgre"/>
        </w:rPr>
        <w:t xml:space="preserve"> 8(4) : 254-7.</w:t>
      </w:r>
    </w:p>
    <w:p w:rsidR="00707FA1" w:rsidRPr="00B6516C" w:rsidRDefault="00707FA1" w:rsidP="00707FA1">
      <w:pPr>
        <w:numPr>
          <w:ilvl w:val="0"/>
          <w:numId w:val="1"/>
        </w:numPr>
        <w:tabs>
          <w:tab w:val="clear" w:pos="720"/>
          <w:tab w:val="num" w:pos="180"/>
        </w:tabs>
        <w:ind w:left="180" w:hanging="180"/>
        <w:rPr>
          <w:rStyle w:val="Accentuationlgre"/>
        </w:rPr>
      </w:pPr>
      <w:r w:rsidRPr="00B6516C">
        <w:rPr>
          <w:rStyle w:val="Accentuationlgre"/>
        </w:rPr>
        <w:t>Mandel SJ, Cooper DS. The use of antithyroid drugs in preg</w:t>
      </w:r>
      <w:r w:rsidRPr="00B6516C">
        <w:rPr>
          <w:rStyle w:val="Accentuationlgre"/>
        </w:rPr>
        <w:softHyphen/>
        <w:t xml:space="preserve">nancy and lactation. J Clin Endocrinol </w:t>
      </w:r>
      <w:proofErr w:type="spellStart"/>
      <w:r w:rsidRPr="00B6516C">
        <w:rPr>
          <w:rStyle w:val="Accentuationlgre"/>
        </w:rPr>
        <w:t>Metab</w:t>
      </w:r>
      <w:proofErr w:type="spellEnd"/>
      <w:r w:rsidRPr="00B6516C">
        <w:rPr>
          <w:rStyle w:val="Accentuationlgre"/>
        </w:rPr>
        <w:t xml:space="preserve"> </w:t>
      </w:r>
      <w:proofErr w:type="gramStart"/>
      <w:r w:rsidRPr="00B6516C">
        <w:rPr>
          <w:rStyle w:val="Accentuationlgre"/>
        </w:rPr>
        <w:t>2001 ;</w:t>
      </w:r>
      <w:proofErr w:type="gramEnd"/>
      <w:r w:rsidRPr="00B6516C">
        <w:rPr>
          <w:rStyle w:val="Accentuationlgre"/>
        </w:rPr>
        <w:t xml:space="preserve"> 86 : 2354-9. </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r w:rsidRPr="00B6516C">
        <w:rPr>
          <w:rStyle w:val="Accentuationlgre"/>
        </w:rPr>
        <w:t xml:space="preserve">Matsuura N et al. The mechanisms of transient hypothyroxinemia in infants born to mothers with Graves’ disease. </w:t>
      </w:r>
      <w:proofErr w:type="spellStart"/>
      <w:r w:rsidRPr="00B6516C">
        <w:rPr>
          <w:rStyle w:val="Accentuationlgre"/>
        </w:rPr>
        <w:t>Pediatr</w:t>
      </w:r>
      <w:proofErr w:type="spellEnd"/>
      <w:r w:rsidRPr="00B6516C">
        <w:rPr>
          <w:rStyle w:val="Accentuationlgre"/>
        </w:rPr>
        <w:t xml:space="preserve"> Res </w:t>
      </w:r>
      <w:proofErr w:type="gramStart"/>
      <w:r w:rsidRPr="00B6516C">
        <w:rPr>
          <w:rStyle w:val="Accentuationlgre"/>
        </w:rPr>
        <w:t>1997 ;</w:t>
      </w:r>
      <w:proofErr w:type="gramEnd"/>
      <w:r w:rsidRPr="00B6516C">
        <w:rPr>
          <w:rStyle w:val="Accentuationlgre"/>
        </w:rPr>
        <w:t xml:space="preserve"> 42 : 214-8.</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proofErr w:type="spellStart"/>
      <w:r w:rsidRPr="00B6516C">
        <w:rPr>
          <w:rStyle w:val="Accentuationlgre"/>
        </w:rPr>
        <w:t>Memi</w:t>
      </w:r>
      <w:proofErr w:type="spellEnd"/>
      <w:r w:rsidRPr="00B6516C">
        <w:rPr>
          <w:rStyle w:val="Accentuationlgre"/>
        </w:rPr>
        <w:t xml:space="preserve"> E et al. Propylthiouracil hepatitis: report of a case and extensive review of the literature. J </w:t>
      </w:r>
      <w:proofErr w:type="spellStart"/>
      <w:r w:rsidRPr="00B6516C">
        <w:rPr>
          <w:rStyle w:val="Accentuationlgre"/>
        </w:rPr>
        <w:t>Pediatr</w:t>
      </w:r>
      <w:proofErr w:type="spellEnd"/>
      <w:r w:rsidRPr="00B6516C">
        <w:rPr>
          <w:rStyle w:val="Accentuationlgre"/>
        </w:rPr>
        <w:t xml:space="preserve"> Endocrinol </w:t>
      </w:r>
      <w:proofErr w:type="spellStart"/>
      <w:r w:rsidRPr="00B6516C">
        <w:rPr>
          <w:rStyle w:val="Accentuationlgre"/>
        </w:rPr>
        <w:t>Metab</w:t>
      </w:r>
      <w:proofErr w:type="spellEnd"/>
      <w:r w:rsidRPr="00B6516C">
        <w:rPr>
          <w:rStyle w:val="Accentuationlgre"/>
        </w:rPr>
        <w:t xml:space="preserve"> </w:t>
      </w:r>
      <w:proofErr w:type="gramStart"/>
      <w:r w:rsidRPr="00B6516C">
        <w:rPr>
          <w:rStyle w:val="Accentuationlgre"/>
        </w:rPr>
        <w:t>2012 ;</w:t>
      </w:r>
      <w:proofErr w:type="gramEnd"/>
      <w:r w:rsidRPr="00B6516C">
        <w:rPr>
          <w:rStyle w:val="Accentuationlgre"/>
        </w:rPr>
        <w:t xml:space="preserve"> 25(3-4) : 331-43.</w:t>
      </w:r>
    </w:p>
    <w:p w:rsidR="00707FA1" w:rsidRPr="00B6516C" w:rsidRDefault="00707FA1" w:rsidP="00707FA1">
      <w:pPr>
        <w:numPr>
          <w:ilvl w:val="0"/>
          <w:numId w:val="1"/>
        </w:numPr>
        <w:tabs>
          <w:tab w:val="clear" w:pos="720"/>
          <w:tab w:val="num" w:pos="180"/>
        </w:tabs>
        <w:ind w:left="180" w:hanging="180"/>
        <w:rPr>
          <w:rStyle w:val="Accentuationlgre"/>
        </w:rPr>
      </w:pPr>
      <w:proofErr w:type="spellStart"/>
      <w:r w:rsidRPr="00B6516C">
        <w:rPr>
          <w:rStyle w:val="Accentuationlgre"/>
        </w:rPr>
        <w:t>Momotani</w:t>
      </w:r>
      <w:proofErr w:type="spellEnd"/>
      <w:r w:rsidRPr="00B6516C">
        <w:rPr>
          <w:rStyle w:val="Accentuationlgre"/>
        </w:rPr>
        <w:t xml:space="preserve"> N al. Thyroid funct</w:t>
      </w:r>
      <w:r>
        <w:rPr>
          <w:rStyle w:val="Accentuationlgre"/>
        </w:rPr>
        <w:t>ion in wholly breast-feeding in</w:t>
      </w:r>
      <w:r w:rsidRPr="00B6516C">
        <w:rPr>
          <w:rStyle w:val="Accentuationlgre"/>
        </w:rPr>
        <w:t>fants whose mothers take high dos</w:t>
      </w:r>
      <w:r>
        <w:rPr>
          <w:rStyle w:val="Accentuationlgre"/>
        </w:rPr>
        <w:t>es of propylthiouracil. Clin En</w:t>
      </w:r>
      <w:r w:rsidRPr="00B6516C">
        <w:rPr>
          <w:rStyle w:val="Accentuationlgre"/>
        </w:rPr>
        <w:t xml:space="preserve">docrinol </w:t>
      </w:r>
      <w:proofErr w:type="gramStart"/>
      <w:r w:rsidRPr="00B6516C">
        <w:rPr>
          <w:rStyle w:val="Accentuationlgre"/>
        </w:rPr>
        <w:t>2000 ;</w:t>
      </w:r>
      <w:proofErr w:type="gramEnd"/>
      <w:r w:rsidRPr="00B6516C">
        <w:rPr>
          <w:rStyle w:val="Accentuationlgre"/>
        </w:rPr>
        <w:t xml:space="preserve"> 53(2) : 177-81. </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proofErr w:type="spellStart"/>
      <w:r w:rsidRPr="00B6516C">
        <w:rPr>
          <w:rStyle w:val="Accentuationlgre"/>
        </w:rPr>
        <w:t>Stagnaro</w:t>
      </w:r>
      <w:proofErr w:type="spellEnd"/>
      <w:r w:rsidRPr="00B6516C">
        <w:rPr>
          <w:rStyle w:val="Accentuationlgre"/>
        </w:rPr>
        <w:t xml:space="preserve">-Green A et al. Guidelines of the American Thyroid Association for the diagnosis and management of thyroid disease during pregnancy and postpartum. Thyroid </w:t>
      </w:r>
      <w:proofErr w:type="gramStart"/>
      <w:r w:rsidRPr="00B6516C">
        <w:rPr>
          <w:rStyle w:val="Accentuationlgre"/>
        </w:rPr>
        <w:t>2011 ;</w:t>
      </w:r>
      <w:proofErr w:type="gramEnd"/>
      <w:r w:rsidRPr="00B6516C">
        <w:rPr>
          <w:rStyle w:val="Accentuationlgre"/>
        </w:rPr>
        <w:t xml:space="preserve"> 21 : 1081-125.</w:t>
      </w:r>
    </w:p>
    <w:p w:rsidR="00707FA1" w:rsidRPr="00B6516C" w:rsidRDefault="00707FA1" w:rsidP="00707FA1">
      <w:pPr>
        <w:pStyle w:val="Corpsdetexte"/>
        <w:numPr>
          <w:ilvl w:val="0"/>
          <w:numId w:val="1"/>
        </w:numPr>
        <w:tabs>
          <w:tab w:val="clear" w:pos="720"/>
          <w:tab w:val="num" w:pos="180"/>
        </w:tabs>
        <w:spacing w:before="20"/>
        <w:ind w:left="180" w:hanging="180"/>
        <w:rPr>
          <w:rStyle w:val="Accentuationlgre"/>
        </w:rPr>
      </w:pPr>
      <w:proofErr w:type="spellStart"/>
      <w:r w:rsidRPr="00B6516C">
        <w:rPr>
          <w:rStyle w:val="Accentuationlgre"/>
        </w:rPr>
        <w:t>Tagami</w:t>
      </w:r>
      <w:proofErr w:type="spellEnd"/>
      <w:r w:rsidRPr="00B6516C">
        <w:rPr>
          <w:rStyle w:val="Accentuationlgre"/>
        </w:rPr>
        <w:t xml:space="preserve"> T et al. The incidence of gestational hyperthyroidism and post-partum thyroiditis in treated patients with Graves’ disease. Thyroid </w:t>
      </w:r>
      <w:proofErr w:type="gramStart"/>
      <w:r w:rsidRPr="00B6516C">
        <w:rPr>
          <w:rStyle w:val="Accentuationlgre"/>
        </w:rPr>
        <w:t>2007 ;</w:t>
      </w:r>
      <w:proofErr w:type="gramEnd"/>
      <w:r w:rsidRPr="00B6516C">
        <w:rPr>
          <w:rStyle w:val="Accentuationlgre"/>
        </w:rPr>
        <w:t xml:space="preserve"> 17(8) : 767.</w:t>
      </w:r>
    </w:p>
    <w:p w:rsidR="00707FA1" w:rsidRPr="00B6516C" w:rsidRDefault="00707FA1" w:rsidP="00707FA1">
      <w:pPr>
        <w:numPr>
          <w:ilvl w:val="0"/>
          <w:numId w:val="1"/>
        </w:numPr>
        <w:tabs>
          <w:tab w:val="clear" w:pos="720"/>
          <w:tab w:val="num" w:pos="180"/>
        </w:tabs>
        <w:ind w:left="180" w:hanging="180"/>
        <w:rPr>
          <w:rStyle w:val="Accentuationlgre"/>
        </w:rPr>
      </w:pPr>
      <w:proofErr w:type="spellStart"/>
      <w:r w:rsidRPr="00B6516C">
        <w:rPr>
          <w:rStyle w:val="Accentuationlgre"/>
        </w:rPr>
        <w:t>Verd</w:t>
      </w:r>
      <w:proofErr w:type="spellEnd"/>
      <w:r w:rsidRPr="00B6516C">
        <w:rPr>
          <w:rStyle w:val="Accentuationlgre"/>
        </w:rPr>
        <w:t xml:space="preserve"> S, Cardo E. Well-being of a baby </w:t>
      </w:r>
      <w:r>
        <w:rPr>
          <w:rStyle w:val="Accentuationlgre"/>
        </w:rPr>
        <w:t xml:space="preserve">breast fed by her mother on </w:t>
      </w:r>
      <w:proofErr w:type="spellStart"/>
      <w:r>
        <w:rPr>
          <w:rStyle w:val="Accentuationlgre"/>
        </w:rPr>
        <w:t>car</w:t>
      </w:r>
      <w:r w:rsidRPr="00B6516C">
        <w:rPr>
          <w:rStyle w:val="Accentuationlgre"/>
        </w:rPr>
        <w:t>bimazol</w:t>
      </w:r>
      <w:proofErr w:type="spellEnd"/>
      <w:r w:rsidRPr="00B6516C">
        <w:rPr>
          <w:rStyle w:val="Accentuationlgre"/>
        </w:rPr>
        <w:t xml:space="preserve"> treatment. J Hum </w:t>
      </w:r>
      <w:proofErr w:type="spellStart"/>
      <w:r w:rsidRPr="00B6516C">
        <w:rPr>
          <w:rStyle w:val="Accentuationlgre"/>
        </w:rPr>
        <w:t>Lact</w:t>
      </w:r>
      <w:proofErr w:type="spellEnd"/>
      <w:r w:rsidRPr="00B6516C">
        <w:rPr>
          <w:rStyle w:val="Accentuationlgre"/>
        </w:rPr>
        <w:t xml:space="preserve"> </w:t>
      </w:r>
      <w:proofErr w:type="gramStart"/>
      <w:r w:rsidRPr="00B6516C">
        <w:rPr>
          <w:rStyle w:val="Accentuationlgre"/>
        </w:rPr>
        <w:t>1998 ;</w:t>
      </w:r>
      <w:proofErr w:type="gramEnd"/>
      <w:r w:rsidRPr="00B6516C">
        <w:rPr>
          <w:rStyle w:val="Accentuationlgre"/>
        </w:rPr>
        <w:t xml:space="preserve"> 14(3) : 206-7.</w:t>
      </w:r>
    </w:p>
    <w:p w:rsidR="00707FA1" w:rsidRDefault="00707FA1">
      <w:bookmarkStart w:id="7" w:name="_GoBack"/>
      <w:bookmarkEnd w:id="7"/>
    </w:p>
    <w:sectPr w:rsidR="00707F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NeueLT Std Lt">
    <w:altName w:val="Arial"/>
    <w:charset w:val="00"/>
    <w:family w:val="swiss"/>
    <w:pitch w:val="variable"/>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7200C2"/>
    <w:multiLevelType w:val="hybridMultilevel"/>
    <w:tmpl w:val="81260EFE"/>
    <w:lvl w:ilvl="0" w:tplc="C756C880">
      <w:start w:val="1"/>
      <w:numFmt w:val="bullet"/>
      <w:lvlText w:val=""/>
      <w:lvlJc w:val="left"/>
      <w:pPr>
        <w:tabs>
          <w:tab w:val="num" w:pos="720"/>
        </w:tabs>
        <w:ind w:left="720" w:hanging="436"/>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A1"/>
    <w:rsid w:val="00707F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0280F2-9411-40F3-8B36-CB52D632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FA1"/>
    <w:pPr>
      <w:spacing w:after="0" w:line="240" w:lineRule="auto"/>
      <w:jc w:val="both"/>
    </w:pPr>
    <w:rPr>
      <w:rFonts w:ascii="HelveticaNeueLT Std Lt" w:eastAsia="Times New Roman" w:hAnsi="HelveticaNeueLT Std Lt" w:cs="Times New Roman"/>
      <w:szCs w:val="24"/>
      <w:lang w:eastAsia="fr-FR"/>
    </w:rPr>
  </w:style>
  <w:style w:type="paragraph" w:styleId="Titre1">
    <w:name w:val="heading 1"/>
    <w:basedOn w:val="Normal"/>
    <w:next w:val="Normal"/>
    <w:link w:val="Titre1Car"/>
    <w:uiPriority w:val="9"/>
    <w:qFormat/>
    <w:rsid w:val="00707FA1"/>
    <w:pPr>
      <w:keepNext/>
      <w:keepLines/>
      <w:jc w:val="left"/>
      <w:outlineLvl w:val="0"/>
    </w:pPr>
    <w:rPr>
      <w:rFonts w:ascii="Verdana" w:eastAsiaTheme="majorEastAsia" w:hAnsi="Verdana" w:cstheme="majorBidi"/>
      <w:b/>
      <w:bCs/>
      <w:color w:val="2A6EBB"/>
      <w:sz w:val="48"/>
      <w:szCs w:val="48"/>
    </w:rPr>
  </w:style>
  <w:style w:type="paragraph" w:styleId="Titre2">
    <w:name w:val="heading 2"/>
    <w:basedOn w:val="Citationintense"/>
    <w:next w:val="Normal"/>
    <w:link w:val="Titre2Car"/>
    <w:unhideWhenUsed/>
    <w:qFormat/>
    <w:rsid w:val="00707FA1"/>
    <w:pPr>
      <w:pBdr>
        <w:top w:val="none" w:sz="0" w:space="0" w:color="auto"/>
        <w:bottom w:val="single" w:sz="4" w:space="1" w:color="0083CF"/>
      </w:pBdr>
      <w:spacing w:before="600" w:after="280"/>
      <w:ind w:left="936" w:right="0"/>
      <w:jc w:val="both"/>
      <w:outlineLvl w:val="1"/>
    </w:pPr>
    <w:rPr>
      <w:b/>
      <w:bCs/>
      <w:color w:val="0083CF"/>
      <w:sz w:val="36"/>
      <w:szCs w:val="36"/>
    </w:rPr>
  </w:style>
  <w:style w:type="paragraph" w:styleId="Titre3">
    <w:name w:val="heading 3"/>
    <w:basedOn w:val="Normal"/>
    <w:next w:val="Normal"/>
    <w:link w:val="Titre3Car"/>
    <w:uiPriority w:val="9"/>
    <w:unhideWhenUsed/>
    <w:qFormat/>
    <w:rsid w:val="00707FA1"/>
    <w:pPr>
      <w:spacing w:before="240" w:after="240"/>
      <w:outlineLvl w:val="2"/>
    </w:pPr>
    <w:rPr>
      <w:b/>
      <w:color w:val="0083CF"/>
      <w:sz w:val="32"/>
      <w:szCs w:val="32"/>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07FA1"/>
    <w:rPr>
      <w:rFonts w:ascii="Verdana" w:eastAsiaTheme="majorEastAsia" w:hAnsi="Verdana" w:cstheme="majorBidi"/>
      <w:b/>
      <w:bCs/>
      <w:color w:val="2A6EBB"/>
      <w:sz w:val="48"/>
      <w:szCs w:val="48"/>
      <w:lang w:eastAsia="fr-FR"/>
    </w:rPr>
  </w:style>
  <w:style w:type="character" w:customStyle="1" w:styleId="Titre2Car">
    <w:name w:val="Titre 2 Car"/>
    <w:basedOn w:val="Policepardfaut"/>
    <w:link w:val="Titre2"/>
    <w:rsid w:val="00707FA1"/>
    <w:rPr>
      <w:rFonts w:ascii="HelveticaNeueLT Std Lt" w:eastAsia="Times New Roman" w:hAnsi="HelveticaNeueLT Std Lt" w:cs="Times New Roman"/>
      <w:b/>
      <w:bCs/>
      <w:i/>
      <w:iCs/>
      <w:color w:val="0083CF"/>
      <w:sz w:val="36"/>
      <w:szCs w:val="36"/>
      <w:lang w:eastAsia="fr-FR"/>
    </w:rPr>
  </w:style>
  <w:style w:type="character" w:customStyle="1" w:styleId="Titre3Car">
    <w:name w:val="Titre 3 Car"/>
    <w:basedOn w:val="Policepardfaut"/>
    <w:link w:val="Titre3"/>
    <w:uiPriority w:val="9"/>
    <w:rsid w:val="00707FA1"/>
    <w:rPr>
      <w:rFonts w:ascii="HelveticaNeueLT Std Lt" w:eastAsia="Times New Roman" w:hAnsi="HelveticaNeueLT Std Lt" w:cs="Times New Roman"/>
      <w:b/>
      <w:color w:val="0083CF"/>
      <w:sz w:val="32"/>
      <w:szCs w:val="32"/>
      <w:lang w:val="en-US" w:eastAsia="fr-FR"/>
    </w:rPr>
  </w:style>
  <w:style w:type="paragraph" w:styleId="Corpsdetexte">
    <w:name w:val="Body Text"/>
    <w:basedOn w:val="Normal"/>
    <w:link w:val="CorpsdetexteCar"/>
    <w:semiHidden/>
    <w:rsid w:val="00707FA1"/>
  </w:style>
  <w:style w:type="character" w:customStyle="1" w:styleId="CorpsdetexteCar">
    <w:name w:val="Corps de texte Car"/>
    <w:basedOn w:val="Policepardfaut"/>
    <w:link w:val="Corpsdetexte"/>
    <w:semiHidden/>
    <w:rsid w:val="00707FA1"/>
    <w:rPr>
      <w:rFonts w:ascii="HelveticaNeueLT Std Lt" w:eastAsia="Times New Roman" w:hAnsi="HelveticaNeueLT Std Lt" w:cs="Times New Roman"/>
      <w:szCs w:val="24"/>
      <w:lang w:eastAsia="fr-FR"/>
    </w:rPr>
  </w:style>
  <w:style w:type="character" w:styleId="Accentuationlgre">
    <w:name w:val="Subtle Emphasis"/>
    <w:basedOn w:val="Policepardfaut"/>
    <w:uiPriority w:val="19"/>
    <w:qFormat/>
    <w:rsid w:val="00707FA1"/>
    <w:rPr>
      <w:rFonts w:ascii="HelveticaNeueLT Std Lt" w:hAnsi="HelveticaNeueLT Std Lt"/>
      <w:i/>
      <w:iCs/>
      <w:color w:val="808080" w:themeColor="text1" w:themeTint="7F"/>
      <w:sz w:val="20"/>
      <w:szCs w:val="20"/>
      <w:lang w:val="en-US"/>
    </w:rPr>
  </w:style>
  <w:style w:type="table" w:styleId="Grilledutableau">
    <w:name w:val="Table Grid"/>
    <w:basedOn w:val="TableauNormal"/>
    <w:uiPriority w:val="59"/>
    <w:rsid w:val="00707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tionintense">
    <w:name w:val="Intense Quote"/>
    <w:basedOn w:val="Normal"/>
    <w:next w:val="Normal"/>
    <w:link w:val="CitationintenseCar"/>
    <w:uiPriority w:val="30"/>
    <w:qFormat/>
    <w:rsid w:val="00707FA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onintenseCar">
    <w:name w:val="Citation intense Car"/>
    <w:basedOn w:val="Policepardfaut"/>
    <w:link w:val="Citationintense"/>
    <w:uiPriority w:val="30"/>
    <w:rsid w:val="00707FA1"/>
    <w:rPr>
      <w:rFonts w:ascii="HelveticaNeueLT Std Lt" w:eastAsia="Times New Roman" w:hAnsi="HelveticaNeueLT Std Lt" w:cs="Times New Roman"/>
      <w:i/>
      <w:iCs/>
      <w:color w:val="4472C4" w:themeColor="accent1"/>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1940</Words>
  <Characters>8886</Characters>
  <Application>Microsoft Office Word</Application>
  <DocSecurity>0</DocSecurity>
  <Lines>141</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 Didierjean-Jouveau</dc:creator>
  <cp:keywords/>
  <dc:description/>
  <cp:lastModifiedBy>Claude Didierjean-Jouveau</cp:lastModifiedBy>
  <cp:revision>1</cp:revision>
  <dcterms:created xsi:type="dcterms:W3CDTF">2018-05-13T10:44:00Z</dcterms:created>
  <dcterms:modified xsi:type="dcterms:W3CDTF">2018-05-13T10:44:00Z</dcterms:modified>
</cp:coreProperties>
</file>